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για πρόσληψη στη Δημοτική Κοινωφελή Δήμου Μυλοποτάμου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Pr="00592E70" w:rsidRDefault="00D02853" w:rsidP="00E63DE7">
            <w:pPr>
              <w:jc w:val="center"/>
              <w:rPr>
                <w:rFonts w:ascii="Tahoma" w:hAnsi="Tahoma" w:cs="Tahoma"/>
                <w:b/>
                <w:spacing w:val="20"/>
              </w:rPr>
            </w:pPr>
            <w:r w:rsidRPr="00592E70">
              <w:rPr>
                <w:rFonts w:ascii="Tahoma" w:hAnsi="Tahoma" w:cs="Tahoma"/>
                <w:b/>
                <w:spacing w:val="20"/>
                <w:sz w:val="20"/>
                <w:szCs w:val="20"/>
              </w:rPr>
              <w:t>(</w:t>
            </w:r>
            <w:r w:rsidR="00592E70" w:rsidRPr="00592E70">
              <w:rPr>
                <w:b/>
              </w:rPr>
              <w:t xml:space="preserve">αναπλήρωση μοναδικού στον κλάδο υπαλλήλου (παρ. 2 του </w:t>
            </w:r>
            <w:proofErr w:type="spellStart"/>
            <w:r w:rsidR="00592E70" w:rsidRPr="00592E70">
              <w:rPr>
                <w:b/>
              </w:rPr>
              <w:t>αρθ</w:t>
            </w:r>
            <w:proofErr w:type="spellEnd"/>
            <w:r w:rsidR="00592E70" w:rsidRPr="00592E70">
              <w:rPr>
                <w:b/>
              </w:rPr>
              <w:t>. 94 του ν. 4483/2017</w:t>
            </w:r>
            <w:r w:rsidRPr="00592E70">
              <w:rPr>
                <w:rFonts w:ascii="Tahoma" w:hAnsi="Tahoma" w:cs="Tahoma"/>
                <w:b/>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3"/>
    <w:rsid w:val="00133EC6"/>
    <w:rsid w:val="00253C1C"/>
    <w:rsid w:val="00254D39"/>
    <w:rsid w:val="003D732A"/>
    <w:rsid w:val="004030A0"/>
    <w:rsid w:val="004C7D75"/>
    <w:rsid w:val="00592E70"/>
    <w:rsid w:val="00631665"/>
    <w:rsid w:val="00651860"/>
    <w:rsid w:val="00766B7C"/>
    <w:rsid w:val="0080154E"/>
    <w:rsid w:val="0081541A"/>
    <w:rsid w:val="00A03522"/>
    <w:rsid w:val="00A316AE"/>
    <w:rsid w:val="00A63C5C"/>
    <w:rsid w:val="00AE0637"/>
    <w:rsid w:val="00C823A8"/>
    <w:rsid w:val="00D02853"/>
    <w:rsid w:val="00D44A02"/>
    <w:rsid w:val="00D537F2"/>
    <w:rsid w:val="00E63DE7"/>
    <w:rsid w:val="00ED5282"/>
    <w:rsid w:val="00F57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4839</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2021-10-15T12:16:00Z</cp:lastPrinted>
  <dcterms:created xsi:type="dcterms:W3CDTF">2022-09-23T11:25:00Z</dcterms:created>
  <dcterms:modified xsi:type="dcterms:W3CDTF">2022-09-23T11:25:00Z</dcterms:modified>
</cp:coreProperties>
</file>